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4E5F"/>
          <w:sz w:val="44"/>
          <w:szCs w:val="44"/>
        </w:rPr>
        <w:t xml:space="preserve">FruitBank</w:t>
      </w:r>
    </w:p>
    <w:p>
      <w:pPr>
        <w:pBdr>
          <w:bottom w:val="single" w:color="1F4E5F" w:sz="12" w:space="6"/>
        </w:pBdr>
        <w:spacing w:after="240"/>
      </w:pPr>
      <w:r>
        <w:rPr>
          <w:b/>
          <w:bCs/>
          <w:sz w:val="30"/>
          <w:szCs w:val="30"/>
        </w:rPr>
        <w:t xml:space="preserve">Rendszer-áttekintés és fejlesztési ajánlat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Adat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Érték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Megrendelő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[új ügyfél neve]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Készítette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[cég / fejlesztő]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Dátum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2026. 07. 01.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Állapot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Ajánlati piszkozat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1"/>
      </w:pPr>
      <w:r>
        <w:t xml:space="preserve">1. A rendszer jelenlegi funkciói</w:t>
      </w:r>
    </w:p>
    <w:p>
      <w:pPr>
        <w:spacing w:after="120" w:before="0"/>
      </w:pPr>
      <w:r>
        <w:t xml:space="preserve">A FruitBank egy súlyalapú, zöldség-gyümölcs nagykereskedelmi rendszer: egy nopCommerce alapú kiszolgáló, amelynek üzleti logikáját egy bővítmény (plugin) tartalmazza, a raktári munkát pedig egy többplatformos hibrid alkalmazás vezérli.</w:t>
      </w:r>
    </w:p>
    <w:p>
      <w:pPr>
        <w:pStyle w:val="Heading2"/>
      </w:pPr>
      <w:r>
        <w:t xml:space="preserve">Kereskedelmi és raktári alapfunkciók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Beszállítás (bejövő) kezelése: </w:t>
      </w:r>
      <w:r>
        <w:t xml:space="preserve">kamion-érkeztetés (rendszám, dátum, fuvarozó), szállítólevél és beszállító (partner) rögzítése, PDF szállítólevél feltöltése, tételes rögzítés.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Raktári mérlegelés: </w:t>
      </w:r>
      <w:r>
        <w:t xml:space="preserve">bruttó / nettó / raklap- / tárasúly rögzítése egységes súlyképlettel; a bevallott és a mért mennyiség eltérésének követése.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Kimenő rendelés kezelése: </w:t>
      </w:r>
      <w:r>
        <w:t xml:space="preserve">rendelés összekészítése, kiszállítás előtti mérlegelés, végleges árazás, készletfrissítés, minőségi ellenőrzés (revízió).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Súlyalapú árképzés: </w:t>
      </w:r>
      <w:r>
        <w:t xml:space="preserve">mérhető termékeknél a mért nettó súly szerint, egyébként mennyiség szerint.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Leltározás: </w:t>
      </w:r>
      <w:r>
        <w:t xml:space="preserve">logikai és fizikai készlet összevetése, eltérés-korrekció, készlettörténet naplózása.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Előrendelés (pre-order): </w:t>
      </w:r>
      <w:r>
        <w:t xml:space="preserve">vevői előrendelés még be nem érkezett árura; FCFS allokáció a bejövő készletre, automatikus átalakítás valós rendeléssé, lejárat kezelése.</w:t>
      </w:r>
    </w:p>
    <w:p>
      <w:pPr>
        <w:pStyle w:val="Heading2"/>
      </w:pPr>
      <w:r>
        <w:t xml:space="preserve">AI és kiegészítő szolgáltatások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Hangalapú rendelésfelvétel </w:t>
      </w:r>
      <w:r>
        <w:t xml:space="preserve">(beszédfelismerés / Whisper).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OCR és PDF-elemzés </w:t>
      </w:r>
      <w:r>
        <w:t xml:space="preserve">a szállítólevelekhez; teljes szövegű keresés.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AI vezetői összefoglaló </w:t>
      </w:r>
      <w:r>
        <w:t xml:space="preserve">(dashboard üzleti áttekintés), képgenerálás.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Fájltárolás: </w:t>
      </w:r>
      <w:r>
        <w:t xml:space="preserve">deduplikáció, tömörítés, kereshetőség.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Billingo / InnVoice </w:t>
      </w:r>
      <w:r>
        <w:t xml:space="preserve">számlázási integráció.</w:t>
      </w:r>
    </w:p>
    <w:p>
      <w:pPr>
        <w:pStyle w:val="Heading2"/>
      </w:pPr>
      <w:r>
        <w:t xml:space="preserve">Technológiai jellemzők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Hibrid alkalmazás: </w:t>
      </w:r>
      <w:r>
        <w:t xml:space="preserve">Blazor Server, Blazor WebAssembly és MAUI (Android / iOS / Windows) közös felülettel.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Valós idejű adatszinkron: </w:t>
      </w:r>
      <w:r>
        <w:t xml:space="preserve">SignalR egyedi bináris protokollal.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DevExpress rács-alapú </w:t>
      </w:r>
      <w:r>
        <w:t xml:space="preserve">adminisztrációs felület, per-felhasználó elrendezés-mentéssel.</w:t>
      </w:r>
    </w:p>
    <w:p>
      <w:r>
        <w:br w:type="page"/>
      </w:r>
    </w:p>
    <w:p>
      <w:pPr>
        <w:pStyle w:val="Heading1"/>
      </w:pPr>
      <w:r>
        <w:t xml:space="preserve">2. Tervezett (jövőbeli) funkciók</w:t>
      </w:r>
    </w:p>
    <w:p>
      <w:pPr>
        <w:pStyle w:val="Heading2"/>
      </w:pPr>
      <w:r>
        <w:t xml:space="preserve">Többféle értékesítési egység (Multi-UoM) – a fő fejlesztés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Több egységben eladható termék: </w:t>
      </w:r>
      <w:r>
        <w:t xml:space="preserve">láda, csomag/doboz, darab, csokor, raklap.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Egyetlen közös, valós idejű készlet: </w:t>
      </w:r>
      <w:r>
        <w:t xml:space="preserve">nem különálló ládakészlet és csomagkészlet, hanem egy pool, amelyet bármely egységben történő eladás arányosan csökkent.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Terméktenkénti átváltási szabály: </w:t>
      </w:r>
      <w:r>
        <w:t xml:space="preserve">testreszabható beállító képernyőn (pl. 1 láda = 130 csokor).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Valós idejű többegységes nézet: </w:t>
      </w:r>
      <w:r>
        <w:t xml:space="preserve">a maradék készlet bármely egységben megjeleníthető (pl. „116 láda = 1 160 csomag = 15 000 csokor”).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Egységenkénti árazási mód: </w:t>
      </w:r>
      <w:r>
        <w:t xml:space="preserve">láda súly szerint, csokor/csomag fix egységáron.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Megbontható láda </w:t>
      </w:r>
      <w:r>
        <w:t xml:space="preserve">– a részben eladott láda korrekt nyilvántartása.</w:t>
      </w:r>
    </w:p>
    <w:p>
      <w:pPr>
        <w:pStyle w:val="Heading2"/>
      </w:pPr>
      <w:r>
        <w:t xml:space="preserve">A rendszer általánosítása</w:t>
      </w:r>
    </w:p>
    <w:p>
      <w:pPr>
        <w:spacing w:after="120" w:before="0"/>
      </w:pPr>
      <w:r>
        <w:t xml:space="preserve">A jelenleg rögzített „láda” feltételezés kiváltása egy rugalmas mértékegység-kezelő réteggel, amely végigfut a mérésen, az árképzésen, a készletmozgáson, az előrendelésen, az adatszinkronon és a felhasználói felületen.</w:t>
      </w:r>
    </w:p>
    <w:p>
      <w:pPr>
        <w:spacing w:after="80"/>
      </w:pPr>
      <w:r>
        <w:t xml:space="preserve"/>
      </w:r>
    </w:p>
    <w:p>
      <w:pPr>
        <w:pStyle w:val="Heading1"/>
      </w:pPr>
      <w:r>
        <w:t xml:space="preserve">3. Fejlesztési ajánlat</w:t>
      </w:r>
    </w:p>
    <w:p>
      <w:pPr>
        <w:spacing w:after="120" w:before="0"/>
      </w:pPr>
      <w:r>
        <w:t xml:space="preserve">Az ajánlat egységes, kulcsrakész csomag, amely a teljes iterációt lefedi: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Tétel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Tartalom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Meglévő rendszer általánosítása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 „láda”-alapú logika átalakítása rugalmas mértékegység-kezelő réteggé a teljes kódbázisban (kiszolgáló + hibrid alkalmazás).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Új funkció fejlesztése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Többegységes készlet, átváltási tábla, terméktenkénti beállító képernyő, egységenkénti árazás, megbontható láda, valós idejű többegységes nézet.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Adatmigráció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 meglévő termék- és készletadatok átállítása az új modellre.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Deploy / üzembe helyezés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Éles környezetbe telepítés, kiadás-kezelés, üzembe helyezési támogatás.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Webdesign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 kapcsolódó felületek arculati és UX-kialakítása, egységválasztó és készletnézet megjelenítése.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Járulékos teendők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Tesztelés, minőségbiztosítás, dokumentáció, betanítás/átadás, indulás utáni stabilizálás.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Ár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26"/>
        <w:gridCol w:w="3000"/>
      </w:tblGrid>
      <w:tr>
        <w:trPr>
          <w:tblHeader/>
        </w:trPr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Megnevezés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Összeg</w:t>
            </w:r>
          </w:p>
        </w:tc>
      </w:tr>
      <w:tr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</w:rPr>
              <w:t xml:space="preserve">Fejlesztési díj (mindent tartalmazó, fix, nettó)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8 900 000 Ft</w:t>
            </w:r>
          </w:p>
        </w:tc>
      </w:tr>
      <w:tr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ÁFA (27%)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2 403 000 Ft</w:t>
            </w:r>
          </w:p>
        </w:tc>
      </w:tr>
      <w:tr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</w:rPr>
              <w:t xml:space="preserve">Bruttó összesen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CEA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/>
                <w:bCs/>
              </w:rPr>
              <w:t xml:space="preserve">11 303 000 Ft</w:t>
            </w:r>
          </w:p>
        </w:tc>
      </w:tr>
    </w:tbl>
    <w:p>
      <w:pPr>
        <w:spacing w:after="160" w:before="0"/>
      </w:pPr>
      <w:r>
        <w:rPr>
          <w:i/>
          <w:iCs/>
        </w:rPr>
        <w:t xml:space="preserve">Az ár átalánydíjas, kulcsrakész ajánlat a fenti táblázatban felsorolt teljes tartalomra.</w:t>
      </w:r>
    </w:p>
    <w:p>
      <w:pPr>
        <w:pStyle w:val="Heading2"/>
      </w:pPr>
      <w:r>
        <w:t xml:space="preserve">Fizetési ütemezés (javaslat)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26"/>
        <w:gridCol w:w="1500"/>
        <w:gridCol w:w="2500"/>
      </w:tblGrid>
      <w:tr>
        <w:trPr>
          <w:tblHeader/>
        </w:trPr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Mérföldkő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Arány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</w:rPr>
              <w:t xml:space="preserve">Nettó összeg</w:t>
            </w:r>
          </w:p>
        </w:tc>
      </w:tr>
      <w:tr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Szerződéskötés / indulás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30%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2 670 000 Ft</w:t>
            </w:r>
          </w:p>
        </w:tc>
      </w:tr>
      <w:tr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Alapmodell + készletréteg elkészülte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40%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3 560 000 Ft</w:t>
            </w:r>
          </w:p>
        </w:tc>
      </w:tr>
      <w:tr>
        <w:tc>
          <w:tcPr>
            <w:tcW w:type="dxa" w:w="5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Átadás, éles indulás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30%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right"/>
            </w:pPr>
            <w:r>
              <w:rPr>
                <w:b w:val="false"/>
                <w:bCs w:val="false"/>
              </w:rPr>
              <w:t xml:space="preserve">2 670 000 Ft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Ütemezés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Csapat: </w:t>
      </w:r>
      <w:r>
        <w:t xml:space="preserve">2 fő, AI-támogatott fejlesztéssel.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Bemutatható verzió: </w:t>
      </w:r>
      <w:r>
        <w:t xml:space="preserve">kb. 1 hónap.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>Éles, migrált, tesztelt szállítás: </w:t>
      </w:r>
      <w:r>
        <w:t xml:space="preserve">kb. 6–8 hét.</w:t>
      </w:r>
    </w:p>
    <w:p>
      <w:pPr>
        <w:pStyle w:val="Heading2"/>
      </w:pPr>
      <w:r>
        <w:t xml:space="preserve">Feltételek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/>
      </w:r>
      <w:r>
        <w:t xml:space="preserve">Az átváltási szorzók terméktenként fixek, a beállító képernyőn konfigurálva; a bejövő áru mindig ládában érkezik.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/>
      </w:r>
      <w:r>
        <w:t xml:space="preserve">Az ajánlat érvényessége: 30 nap.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</w:rPr>
        <w:t xml:space="preserve"/>
      </w:r>
      <w:r>
        <w:t xml:space="preserve">Az ár nem tartalmaz új infrastruktúra/hosting kialakítást és a jelen hatókörön kívüli funkciókat.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88888"/>
        <w:sz w:val="16"/>
        <w:szCs w:val="16"/>
      </w:rPr>
      <w:t xml:space="preserve">FruitBank – Fejlesztési ajánlat   •   </w:t>
    </w:r>
    <w:r>
      <w:rPr>
        <w:color w:val="888888"/>
        <w:sz w:val="16"/>
        <w:szCs w:val="16"/>
      </w:rPr>
      <w:t xml:space="preserve"/>
    </w:r>
    <w:r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888888"/>
        <w:sz w:val="16"/>
        <w:szCs w:val="16"/>
      </w:rPr>
      <w:t xml:space="preserve"> / </w:t>
    </w:r>
    <w:r>
      <w:rPr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9BC0CE" w:sz="6" w:space="4"/>
      </w:pBdr>
      <w:spacing w:after="160" w:before="280"/>
      <w:outlineLvl w:val="0"/>
    </w:pPr>
    <w:rPr>
      <w:rFonts w:ascii="Arial" w:cs="Arial" w:eastAsia="Arial" w:hAnsi="Arial"/>
      <w:b/>
      <w:bCs/>
      <w:color w:val="1F4E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6E82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FruitBank – Fejlesztési ajánlat</dc:title>
  <dc:creator>FruitBank</dc:creator>
  <cp:lastModifiedBy>Un-named</cp:lastModifiedBy>
  <cp:revision>1</cp:revision>
  <dcterms:created xsi:type="dcterms:W3CDTF">2026-07-01T11:01:12.410Z</dcterms:created>
  <dcterms:modified xsi:type="dcterms:W3CDTF">2026-07-01T11:01:12.411Z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